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1012">
      <w:pPr>
        <w:jc w:val="center"/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Top 10 Advantages of Digital Human Interactive Terminals</w:t>
      </w:r>
    </w:p>
    <w:p w14:paraId="65E3C475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Digital human interactive terminals are reshaping the human-computer interaction ecosystem through technological innovation, unleashing tremendous value in government affairs, finance, retail, and other fields. Their core advantages can be summarized into ten key highlights.</w:t>
      </w:r>
    </w:p>
    <w:p w14:paraId="06F7DAEB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First, it achieves emotional interaction. By capturing 28 types of microexpressions and simulatin</w:t>
      </w:r>
      <w:bookmarkStart w:id="0" w:name="_GoBack"/>
      <w:bookmarkEnd w:id="0"/>
      <w:r>
        <w:rPr>
          <w:rFonts w:hint="default" w:ascii="Book Antiqua" w:hAnsi="Book Antiqua" w:eastAsia="华文楷体" w:cs="Book Antiqua"/>
          <w:sz w:val="28"/>
          <w:szCs w:val="28"/>
        </w:rPr>
        <w:t xml:space="preserve">g 24 kinds of emotions, the terminal can convey affability, increasing public satisfaction from 78% to 95% in government affairs scenarios. </w:t>
      </w:r>
    </w:p>
    <w:p w14:paraId="0CC0CCCA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 xml:space="preserve">Second, it provides uninterrupted 24/7 service, boosting the nighttime consultation volume of banks by 300%. </w:t>
      </w:r>
    </w:p>
    <w:p w14:paraId="13589602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Third, it significantly reduces costs and improves efficiency. The hardware subscription model keeps the average daily cost below 50 yuan, and the ordering efficiency of small and medium-sized catering businesses increases by 40% after deployment.</w:t>
      </w:r>
    </w:p>
    <w:p w14:paraId="3D17578D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Fourth, it enables multimodal precise interaction. Integrating four-dimensional perceptions such as voice and vision, it achieves a voice wake-up success rate of 99.5% with a response delay of less than 200 milliseconds. Fifth, it features in-depth industry adaptation. Equipped with a 1-billion-level knowledge graph, it raises the signing rate of wealth management products by 41% in the financial sector. Sixth, it has an extremely low deployment threshold. The plug-and-play industry solution packages shorten the enterprise implementation cycle from several months to 3 days.</w:t>
      </w:r>
    </w:p>
    <w:p w14:paraId="05A9C101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 xml:space="preserve">Seventh, it breaks through physical limitations. With 8K naked-eye 3D and anti-glare projection technologies, the interaction volume of outdoor pop-up stores reaches 8 times that of traditional models. </w:t>
      </w:r>
    </w:p>
    <w:p w14:paraId="5F00DAF0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Eighth, it ensures controllable data security. The end-to-end encryption architecture achieves a 99.99% attack interception rate, keeping raw data within the domain.</w:t>
      </w:r>
    </w:p>
    <w:p w14:paraId="37114210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 xml:space="preserve"> Ninth, it supports dynamic iterative upgrading. The knowledge base is automatically updated through the cloud, achieving a 99.2% three-year zero-failure rate. Tenth, it empowers personalized services. By analyzing needs through eye-tracking technology, the average customer transaction value in the retail sector increases by 35%.</w:t>
      </w:r>
    </w:p>
    <w:p w14:paraId="6FB46865">
      <w:pPr>
        <w:rPr>
          <w:rFonts w:hint="default" w:ascii="Book Antiqua" w:hAnsi="Book Antiqua" w:eastAsia="华文楷体" w:cs="Book Antiqua"/>
          <w:sz w:val="28"/>
          <w:szCs w:val="28"/>
        </w:rPr>
      </w:pPr>
      <w:r>
        <w:rPr>
          <w:rFonts w:hint="default" w:ascii="Book Antiqua" w:hAnsi="Book Antiqua" w:eastAsia="华文楷体" w:cs="Book Antiqua"/>
          <w:sz w:val="28"/>
          <w:szCs w:val="28"/>
        </w:rPr>
        <w:t>From a tool to a partner, digital human terminals are becoming a key engine for digital transformation.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D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2025-11-08T06:39:25Z</dcterms:created>
  <dc:creator>Administrator</dc:creator>
  <cp:lastModifiedBy>元岳科技</cp:lastModifiedBy>
  <dcterms:modified xsi:type="dcterms:W3CDTF">2025-11-08T06:43:57Z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eyJoZGlkIjoiYTQ2ZjgyODFhNzU1ZDc2Yzc1YmM3NjQ4YWY5ODYxMTQiLCJ1c2VySWQiOiIxNzQwNzkyOTYzIn0=</vt:lpwstr>
  </property>
  <property fmtid="{D5CDD505-2E9C-101B-9397-08002B2CF9AE}" pid="4" name="ICV">
    <vt:lpwstr>0DE76725A4E147979F634E336CCDF06E_12</vt:lpwstr>
  </property>
</Properties>
</file>